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1D" w:rsidRDefault="007C6D1D" w:rsidP="007C6D1D">
      <w:pPr>
        <w:pStyle w:val="Ttulo1"/>
        <w:jc w:val="center"/>
      </w:pPr>
      <w:bookmarkStart w:id="0" w:name="_GoBack"/>
      <w:bookmarkEnd w:id="0"/>
      <w:r>
        <w:t>Avaliação didática – Concurso de Livre Docência</w:t>
      </w:r>
    </w:p>
    <w:p w:rsidR="007C6D1D" w:rsidRDefault="007C6D1D" w:rsidP="007C6D1D">
      <w:pPr>
        <w:pStyle w:val="Ttulo1"/>
        <w:spacing w:before="240"/>
        <w:jc w:val="center"/>
      </w:pPr>
      <w:r>
        <w:t>Candidato: Prof. Dr. Celso Teixeira Mendes Junior</w:t>
      </w:r>
    </w:p>
    <w:p w:rsidR="007C6D1D" w:rsidRDefault="007C6D1D" w:rsidP="00EF1E22">
      <w:pPr>
        <w:jc w:val="both"/>
      </w:pPr>
    </w:p>
    <w:p w:rsidR="00F95A85" w:rsidRDefault="00A673A2" w:rsidP="00EF1E22">
      <w:pPr>
        <w:jc w:val="both"/>
      </w:pPr>
      <w:r>
        <w:t>O plano de aula consiste em elemento voltado para organizar o Processo de Ensino-Aprendizagem ao prever os conteúdos a serem ministrados e atividades a serem realizadas em uma ou mais aulas que compõem a disciplina.</w:t>
      </w:r>
      <w:r w:rsidR="00E67F5A">
        <w:t xml:space="preserve"> O p</w:t>
      </w:r>
      <w:r>
        <w:t>reparo e reflexão daquilo que acontecerá em sala de aula permite criar ambiente propício para a construção do conhecimento junto aos alunos, além de proporcionar maior confiança ao professor (Góes et al., 2015)</w:t>
      </w:r>
      <w:r w:rsidR="00F95A85">
        <w:t>.</w:t>
      </w:r>
    </w:p>
    <w:p w:rsidR="000B181A" w:rsidRDefault="00A673A2" w:rsidP="007C6D1D">
      <w:pPr>
        <w:ind w:firstLine="708"/>
        <w:jc w:val="both"/>
      </w:pPr>
      <w:r>
        <w:t>Ensinar não consiste em mostrar, explicar e argumentar claramente os conteúdos a serem ministrados. Quando se pensa em ensino, existe alusão ao processo de aprendizagem: ensinar é administrar o processo completo de ensino-aprendizagem que se desenvolve em um contexto determinado, sobre certos conteúdos específicos, junto a um grupo de alunos com características bastante particulares (Zebalza, 2004)</w:t>
      </w:r>
      <w:r w:rsidR="00300F02">
        <w:t>.</w:t>
      </w:r>
      <w:r w:rsidR="00FA19AC">
        <w:t xml:space="preserve"> </w:t>
      </w:r>
      <w:r w:rsidR="00300F02">
        <w:t xml:space="preserve">Saberes relacionados à dimensão pedagógica são </w:t>
      </w:r>
      <w:r w:rsidR="00EE38F3">
        <w:t>fundamentais</w:t>
      </w:r>
      <w:r w:rsidR="00300F02">
        <w:t xml:space="preserve"> para a estruturação profissional do professor, devendo constituir o constructo da formação inicial e continuada (Cunha, 2010). Os núcleos de saberes relacionados (a) ao planejamento da atividade de ensino, (b) condução da aula nas múltiplas possibilidades e (c) relacionados com a avaliação da aprendizagem, constituem elementos fundamentais para que o docente elabore planos de aula efetivos. O plano de aula contribui para a previsão e organização das ações intencionais, ou seja, antecipando ações e atividades que deverão ocorrer durante a aula, a fim de evitar a rotina e </w:t>
      </w:r>
      <w:r w:rsidR="00EE38F3">
        <w:t>a improvisação</w:t>
      </w:r>
      <w:r w:rsidR="00300F02">
        <w:t xml:space="preserve"> (Veiga, 2008).</w:t>
      </w:r>
    </w:p>
    <w:p w:rsidR="00C60A61" w:rsidRDefault="00300F02" w:rsidP="007C6D1D">
      <w:pPr>
        <w:ind w:firstLine="708"/>
        <w:jc w:val="both"/>
      </w:pPr>
      <w:r>
        <w:t>Este elemento do concurso de Livre-Docência está estruturado em duas partes. Inicialmente será apresentado o plano de aula referente ao tópico “</w:t>
      </w:r>
      <w:r w:rsidRPr="000B181A">
        <w:rPr>
          <w:b/>
        </w:rPr>
        <w:t>Identificação de Indiv</w:t>
      </w:r>
      <w:r w:rsidR="00EE38F3" w:rsidRPr="000B181A">
        <w:rPr>
          <w:b/>
        </w:rPr>
        <w:t>í</w:t>
      </w:r>
      <w:r w:rsidRPr="000B181A">
        <w:rPr>
          <w:b/>
        </w:rPr>
        <w:t>d</w:t>
      </w:r>
      <w:r w:rsidR="00EE38F3" w:rsidRPr="000B181A">
        <w:rPr>
          <w:b/>
        </w:rPr>
        <w:t>u</w:t>
      </w:r>
      <w:r w:rsidRPr="000B181A">
        <w:rPr>
          <w:b/>
        </w:rPr>
        <w:t>os por Exames de DNA</w:t>
      </w:r>
      <w:r>
        <w:t>”</w:t>
      </w:r>
      <w:r w:rsidR="000B181A">
        <w:t>. Após a apresentação do mesmo, diferentes itens que compõem o plano de aula serão contextualizados e discutidos.</w:t>
      </w:r>
    </w:p>
    <w:p w:rsidR="007C6D1D" w:rsidRPr="007C6D1D" w:rsidRDefault="007C6D1D" w:rsidP="007C6D1D">
      <w:pPr>
        <w:ind w:firstLine="708"/>
        <w:jc w:val="both"/>
        <w:rPr>
          <w:sz w:val="8"/>
          <w:szCs w:val="8"/>
        </w:rPr>
      </w:pPr>
    </w:p>
    <w:p w:rsidR="00FA19AC" w:rsidRDefault="00FA19AC" w:rsidP="00EF1E22">
      <w:pPr>
        <w:jc w:val="both"/>
      </w:pPr>
      <w:r>
        <w:t>XXXXXXXXXXXXXXXXXXXXXXXXXXXXXXXXXXXXXXXXXXXXXXXXXXXXXXXXXXXXXXXXXXXXXXXXXXXXXXX</w:t>
      </w:r>
    </w:p>
    <w:p w:rsidR="00FA19AC" w:rsidRDefault="00FA19AC" w:rsidP="007C6D1D">
      <w:pPr>
        <w:pStyle w:val="Ttulo1"/>
        <w:jc w:val="center"/>
      </w:pPr>
      <w:r>
        <w:t>Plano de Aula</w:t>
      </w:r>
    </w:p>
    <w:p w:rsidR="00FA19AC" w:rsidRDefault="00FA19AC" w:rsidP="00EF1E22">
      <w:pPr>
        <w:pStyle w:val="Ttulo2"/>
        <w:jc w:val="both"/>
      </w:pPr>
      <w:r>
        <w:t>Identificação</w:t>
      </w:r>
    </w:p>
    <w:p w:rsidR="00FA19AC" w:rsidRDefault="00FA19AC" w:rsidP="00EF1E22">
      <w:pPr>
        <w:pStyle w:val="PargrafodaLista"/>
        <w:numPr>
          <w:ilvl w:val="0"/>
          <w:numId w:val="6"/>
        </w:numPr>
        <w:spacing w:before="240"/>
        <w:jc w:val="both"/>
      </w:pPr>
      <w:r>
        <w:t>Instituição: Faculdade de Filosofia, Ciências e Letras de Ribeirão Preto (FFCLRP-USP)</w:t>
      </w:r>
    </w:p>
    <w:p w:rsidR="00FA19AC" w:rsidRDefault="00FA19AC" w:rsidP="00EF1E22">
      <w:pPr>
        <w:pStyle w:val="PargrafodaLista"/>
        <w:numPr>
          <w:ilvl w:val="0"/>
          <w:numId w:val="6"/>
        </w:numPr>
        <w:jc w:val="both"/>
      </w:pPr>
      <w:r>
        <w:t>Curso: Bacharelado em Química (ênfase em Química Forense)</w:t>
      </w:r>
    </w:p>
    <w:p w:rsidR="00FA19AC" w:rsidRDefault="00FA19AC" w:rsidP="00EF1E22">
      <w:pPr>
        <w:pStyle w:val="PargrafodaLista"/>
        <w:numPr>
          <w:ilvl w:val="0"/>
          <w:numId w:val="6"/>
        </w:numPr>
        <w:jc w:val="both"/>
      </w:pPr>
      <w:r>
        <w:t>Disciplina: 5930152 – Biologia Molecular Forense</w:t>
      </w:r>
    </w:p>
    <w:p w:rsidR="00FA19AC" w:rsidRDefault="00FA19AC" w:rsidP="00EF1E22">
      <w:pPr>
        <w:pStyle w:val="PargrafodaLista"/>
        <w:numPr>
          <w:ilvl w:val="0"/>
          <w:numId w:val="6"/>
        </w:numPr>
        <w:jc w:val="both"/>
      </w:pPr>
      <w:r>
        <w:t>Semestre ideal: 6º semestre</w:t>
      </w:r>
    </w:p>
    <w:p w:rsidR="00FA19AC" w:rsidRDefault="00FA19AC" w:rsidP="00EF1E22">
      <w:pPr>
        <w:pStyle w:val="PargrafodaLista"/>
        <w:numPr>
          <w:ilvl w:val="0"/>
          <w:numId w:val="6"/>
        </w:numPr>
        <w:jc w:val="both"/>
      </w:pPr>
      <w:r>
        <w:t>Professor responsável: Prof. Dr. Celso Teixeira Mendes Junior</w:t>
      </w:r>
    </w:p>
    <w:p w:rsidR="00FA19AC" w:rsidRDefault="00FA19AC" w:rsidP="00EF1E22">
      <w:pPr>
        <w:pStyle w:val="PargrafodaLista"/>
        <w:numPr>
          <w:ilvl w:val="0"/>
          <w:numId w:val="6"/>
        </w:numPr>
        <w:jc w:val="both"/>
      </w:pPr>
      <w:r>
        <w:t>Carga horária: 4 horas (duas aulas)</w:t>
      </w:r>
    </w:p>
    <w:p w:rsidR="00FA19AC" w:rsidRDefault="00FA19AC" w:rsidP="00EF1E22">
      <w:pPr>
        <w:pStyle w:val="PargrafodaLista"/>
        <w:numPr>
          <w:ilvl w:val="0"/>
          <w:numId w:val="6"/>
        </w:numPr>
        <w:jc w:val="both"/>
      </w:pPr>
      <w:r>
        <w:t>Número de alunos: 20</w:t>
      </w:r>
    </w:p>
    <w:p w:rsidR="00FA19AC" w:rsidRDefault="00FA19AC" w:rsidP="00EF1E22">
      <w:pPr>
        <w:pStyle w:val="PargrafodaLista"/>
        <w:numPr>
          <w:ilvl w:val="0"/>
          <w:numId w:val="6"/>
        </w:numPr>
        <w:jc w:val="both"/>
      </w:pPr>
      <w:r>
        <w:t xml:space="preserve">Tema: </w:t>
      </w:r>
      <w:r w:rsidRPr="00FA19AC">
        <w:t>Identificação de Indivíduos por Exames de DNA</w:t>
      </w:r>
    </w:p>
    <w:p w:rsidR="007F4BC2" w:rsidRDefault="007F4BC2" w:rsidP="00EF1E22">
      <w:pPr>
        <w:jc w:val="both"/>
      </w:pPr>
    </w:p>
    <w:p w:rsidR="00564E7F" w:rsidRDefault="00564E7F" w:rsidP="00EF1E22">
      <w:pPr>
        <w:pStyle w:val="Ttulo2"/>
        <w:jc w:val="both"/>
      </w:pPr>
      <w:r>
        <w:t>Objetivos</w:t>
      </w:r>
    </w:p>
    <w:p w:rsidR="00564E7F" w:rsidRDefault="00564E7F" w:rsidP="00EF1E22">
      <w:pPr>
        <w:pStyle w:val="Ttulo3"/>
        <w:jc w:val="both"/>
      </w:pPr>
      <w:r>
        <w:t>Geral</w:t>
      </w:r>
    </w:p>
    <w:p w:rsidR="00564E7F" w:rsidRDefault="00564E7F" w:rsidP="00EF1E22">
      <w:pPr>
        <w:spacing w:before="240"/>
        <w:jc w:val="both"/>
      </w:pPr>
      <w:r>
        <w:t>Apresentar a necessidade de se estimar a significância estatística da coincidência (</w:t>
      </w:r>
      <w:r w:rsidRPr="00564E7F">
        <w:rPr>
          <w:i/>
        </w:rPr>
        <w:t>match</w:t>
      </w:r>
      <w:r>
        <w:t>) de perfis de DNA após exame de duas amostras biológicas distintas</w:t>
      </w:r>
      <w:r w:rsidR="007C6D1D">
        <w:t>.</w:t>
      </w:r>
    </w:p>
    <w:p w:rsidR="00564E7F" w:rsidRDefault="00564E7F" w:rsidP="00EF1E22">
      <w:pPr>
        <w:pStyle w:val="Ttulo3"/>
        <w:jc w:val="both"/>
      </w:pPr>
      <w:r>
        <w:t>Específicos</w:t>
      </w:r>
    </w:p>
    <w:p w:rsidR="00564E7F" w:rsidRDefault="00564E7F" w:rsidP="00EF1E22">
      <w:pPr>
        <w:pStyle w:val="PargrafodaLista"/>
        <w:numPr>
          <w:ilvl w:val="0"/>
          <w:numId w:val="1"/>
        </w:numPr>
        <w:spacing w:before="240"/>
        <w:jc w:val="both"/>
      </w:pPr>
      <w:r>
        <w:t>Calcular as frequências de perfis de DNA</w:t>
      </w:r>
      <w:r w:rsidR="007C6D1D">
        <w:t>;</w:t>
      </w:r>
    </w:p>
    <w:p w:rsidR="00564E7F" w:rsidRDefault="00564E7F" w:rsidP="00EF1E22">
      <w:pPr>
        <w:pStyle w:val="PargrafodaLista"/>
        <w:numPr>
          <w:ilvl w:val="0"/>
          <w:numId w:val="1"/>
        </w:numPr>
        <w:jc w:val="both"/>
      </w:pPr>
      <w:r>
        <w:t>Debater sobre a necessidade de se utilizar correções para frequências alélicas e genotípicas nos cálculos de frequências de perfis de DNA</w:t>
      </w:r>
      <w:r w:rsidR="007C6D1D">
        <w:t>;</w:t>
      </w:r>
    </w:p>
    <w:p w:rsidR="00564E7F" w:rsidRDefault="00564E7F" w:rsidP="00EF1E22">
      <w:pPr>
        <w:pStyle w:val="PargrafodaLista"/>
        <w:numPr>
          <w:ilvl w:val="0"/>
          <w:numId w:val="1"/>
        </w:numPr>
        <w:jc w:val="both"/>
      </w:pPr>
      <w:r>
        <w:t>Descrever e comparar as diferentes abordagens estatísticas para a análise e interpretação da coincidência de perfis de DNA</w:t>
      </w:r>
      <w:r w:rsidR="007C6D1D">
        <w:t>;</w:t>
      </w:r>
    </w:p>
    <w:p w:rsidR="00564E7F" w:rsidRDefault="00564E7F" w:rsidP="00EF1E22">
      <w:pPr>
        <w:pStyle w:val="PargrafodaLista"/>
        <w:numPr>
          <w:ilvl w:val="0"/>
          <w:numId w:val="1"/>
        </w:numPr>
        <w:jc w:val="both"/>
      </w:pPr>
      <w:r>
        <w:t>Refletir sobre a forma correta de apresentação das evidência em laudo específico</w:t>
      </w:r>
      <w:r w:rsidR="007C6D1D">
        <w:t>.</w:t>
      </w:r>
    </w:p>
    <w:p w:rsidR="006A6E70" w:rsidRDefault="006A6E70" w:rsidP="00EF1E22">
      <w:pPr>
        <w:jc w:val="both"/>
      </w:pPr>
    </w:p>
    <w:p w:rsidR="006A6E70" w:rsidRDefault="006A6E70" w:rsidP="00EF1E22">
      <w:pPr>
        <w:pStyle w:val="Ttulo2"/>
        <w:jc w:val="both"/>
      </w:pPr>
      <w:r>
        <w:t>Conteúdo de ensino</w:t>
      </w:r>
    </w:p>
    <w:p w:rsidR="006A6E70" w:rsidRDefault="00D64CE6" w:rsidP="00EF1E22">
      <w:pPr>
        <w:pStyle w:val="PargrafodaLista"/>
        <w:numPr>
          <w:ilvl w:val="0"/>
          <w:numId w:val="3"/>
        </w:numPr>
        <w:spacing w:before="240"/>
        <w:jc w:val="both"/>
      </w:pPr>
      <w:r>
        <w:t>Cá</w:t>
      </w:r>
      <w:r w:rsidR="006A6E70">
        <w:t>lculo de frequências de perfis de DNA</w:t>
      </w:r>
      <w:r w:rsidR="00D70566">
        <w:t xml:space="preserve">, </w:t>
      </w:r>
      <w:r w:rsidR="006A6E70">
        <w:t>baseando-se em princípios de probabilidade</w:t>
      </w:r>
      <w:r w:rsidR="00D70566">
        <w:t xml:space="preserve"> (regra do produto)</w:t>
      </w:r>
      <w:r w:rsidR="006A6E70">
        <w:t xml:space="preserve"> e no modelo de E</w:t>
      </w:r>
      <w:r w:rsidR="00D70566">
        <w:t>quilíbrio de Hardy-Weinberg</w:t>
      </w:r>
      <w:r w:rsidR="007C6D1D">
        <w:t>;</w:t>
      </w:r>
    </w:p>
    <w:p w:rsidR="00D70566" w:rsidRDefault="00D70566" w:rsidP="00EF1E22">
      <w:pPr>
        <w:pStyle w:val="PargrafodaLista"/>
        <w:numPr>
          <w:ilvl w:val="0"/>
          <w:numId w:val="3"/>
        </w:numPr>
        <w:jc w:val="both"/>
      </w:pPr>
      <w:r>
        <w:t>Correções para frequências alélicas e genotípicas convencionalmente empregadas pela comunidade forense (frequências alélicas mínimas, correção de Balding, e correção para sub-populações)</w:t>
      </w:r>
      <w:r w:rsidR="007C6D1D">
        <w:t>;</w:t>
      </w:r>
    </w:p>
    <w:p w:rsidR="00D70566" w:rsidRDefault="00F11132" w:rsidP="00EF1E22">
      <w:pPr>
        <w:pStyle w:val="PargrafodaLista"/>
        <w:numPr>
          <w:ilvl w:val="0"/>
          <w:numId w:val="3"/>
        </w:numPr>
        <w:jc w:val="both"/>
      </w:pPr>
      <w:r>
        <w:t>Análise da significância estatística e interpretação da coincidência de perfis de DNA de duas amostras (três abordagens: frequentista, de razão de verossimilhança e Bayesiana)</w:t>
      </w:r>
      <w:r w:rsidR="007C6D1D">
        <w:t>;</w:t>
      </w:r>
    </w:p>
    <w:p w:rsidR="00F11132" w:rsidRDefault="00F11132" w:rsidP="00EF1E22">
      <w:pPr>
        <w:pStyle w:val="PargrafodaLista"/>
        <w:numPr>
          <w:ilvl w:val="0"/>
          <w:numId w:val="3"/>
        </w:numPr>
        <w:jc w:val="both"/>
      </w:pPr>
      <w:r>
        <w:t>Apresentação das evidências e elaboração de laudo à partir de exame de DNA</w:t>
      </w:r>
      <w:r w:rsidR="007C6D1D">
        <w:t>.</w:t>
      </w:r>
    </w:p>
    <w:p w:rsidR="00D30611" w:rsidRDefault="00D30611" w:rsidP="00EF1E22">
      <w:pPr>
        <w:jc w:val="both"/>
      </w:pPr>
    </w:p>
    <w:p w:rsidR="00D30611" w:rsidRDefault="00D30611" w:rsidP="00EF1E22">
      <w:pPr>
        <w:pStyle w:val="Ttulo2"/>
        <w:jc w:val="both"/>
      </w:pPr>
      <w:r>
        <w:t>Métodos e estratégias</w:t>
      </w:r>
    </w:p>
    <w:p w:rsidR="00D30611" w:rsidRDefault="007F4BC2" w:rsidP="00EF1E22">
      <w:pPr>
        <w:pStyle w:val="PargrafodaLista"/>
        <w:numPr>
          <w:ilvl w:val="0"/>
          <w:numId w:val="4"/>
        </w:numPr>
        <w:spacing w:before="240"/>
        <w:jc w:val="both"/>
      </w:pPr>
      <w:r>
        <w:t>Aula expositiva dialogada</w:t>
      </w:r>
      <w:r w:rsidR="007C6D1D">
        <w:t>;</w:t>
      </w:r>
    </w:p>
    <w:p w:rsidR="00D30611" w:rsidRDefault="00D30611" w:rsidP="00EF1E22">
      <w:pPr>
        <w:pStyle w:val="PargrafodaLista"/>
        <w:numPr>
          <w:ilvl w:val="0"/>
          <w:numId w:val="4"/>
        </w:numPr>
        <w:jc w:val="both"/>
      </w:pPr>
      <w:r>
        <w:t>Reso</w:t>
      </w:r>
      <w:r w:rsidR="007F4BC2">
        <w:t>lução de exercícios interativos</w:t>
      </w:r>
      <w:r w:rsidR="007C6D1D">
        <w:t>;</w:t>
      </w:r>
    </w:p>
    <w:p w:rsidR="00D30611" w:rsidRDefault="00D30611" w:rsidP="00EF1E22">
      <w:pPr>
        <w:pStyle w:val="PargrafodaLista"/>
        <w:numPr>
          <w:ilvl w:val="0"/>
          <w:numId w:val="4"/>
        </w:numPr>
        <w:jc w:val="both"/>
      </w:pPr>
      <w:r>
        <w:t xml:space="preserve">Júri Simulado 1 – Questão norteadora: Correções para frequências alélicas e genotípicas devem ser empregadas nos cálculos de frequências de perfis de DNA? Sim </w:t>
      </w:r>
      <w:r w:rsidRPr="00D64CE6">
        <w:rPr>
          <w:i/>
        </w:rPr>
        <w:t xml:space="preserve">vs. </w:t>
      </w:r>
      <w:r w:rsidR="007C6D1D">
        <w:t>Não;</w:t>
      </w:r>
    </w:p>
    <w:p w:rsidR="00D30611" w:rsidRDefault="00D30611" w:rsidP="00EF1E22">
      <w:pPr>
        <w:pStyle w:val="PargrafodaLista"/>
        <w:numPr>
          <w:ilvl w:val="0"/>
          <w:numId w:val="4"/>
        </w:numPr>
        <w:jc w:val="both"/>
      </w:pPr>
      <w:r>
        <w:t>Júri Simulado 2 – Questão norteadora: A coincidência de perfis de DNA de duas amostras deve ser interpretada estatisticamente por meio de qual abordagem? Frequentista vs. Bayesiana.</w:t>
      </w:r>
    </w:p>
    <w:p w:rsidR="00D30611" w:rsidRDefault="00D30611" w:rsidP="00EF1E22">
      <w:pPr>
        <w:jc w:val="both"/>
      </w:pPr>
    </w:p>
    <w:p w:rsidR="00D30611" w:rsidRDefault="00D30611" w:rsidP="00EF1E22">
      <w:pPr>
        <w:pStyle w:val="Ttulo2"/>
        <w:jc w:val="both"/>
      </w:pPr>
      <w:r>
        <w:lastRenderedPageBreak/>
        <w:t>Recursos didáticos</w:t>
      </w:r>
    </w:p>
    <w:p w:rsidR="005B2707" w:rsidRDefault="00D64CE6" w:rsidP="00EF1E22">
      <w:pPr>
        <w:pStyle w:val="PargrafodaLista"/>
        <w:numPr>
          <w:ilvl w:val="0"/>
          <w:numId w:val="5"/>
        </w:numPr>
        <w:spacing w:before="240"/>
        <w:jc w:val="both"/>
      </w:pPr>
      <w:r>
        <w:t>Projetor multimídia e tela para projeção</w:t>
      </w:r>
      <w:r w:rsidR="005B2707">
        <w:t>, além de acesso à int</w:t>
      </w:r>
      <w:r w:rsidR="007C6D1D">
        <w:t>ernet para docente e estudantes;</w:t>
      </w:r>
    </w:p>
    <w:p w:rsidR="00D64CE6" w:rsidRDefault="00D64CE6" w:rsidP="00EF1E22">
      <w:pPr>
        <w:pStyle w:val="PargrafodaLista"/>
        <w:numPr>
          <w:ilvl w:val="1"/>
          <w:numId w:val="5"/>
        </w:numPr>
        <w:jc w:val="both"/>
      </w:pPr>
      <w:r>
        <w:t>Apresentação de diapositivos (slides)</w:t>
      </w:r>
      <w:r w:rsidR="007C6D1D">
        <w:t>;</w:t>
      </w:r>
    </w:p>
    <w:p w:rsidR="00D64CE6" w:rsidRDefault="00D64CE6" w:rsidP="00EF1E22">
      <w:pPr>
        <w:pStyle w:val="PargrafodaLista"/>
        <w:numPr>
          <w:ilvl w:val="1"/>
          <w:numId w:val="5"/>
        </w:numPr>
        <w:jc w:val="both"/>
      </w:pPr>
      <w:r>
        <w:t>Quatro vídeos de curta duração</w:t>
      </w:r>
      <w:r w:rsidR="007C6D1D">
        <w:t>;</w:t>
      </w:r>
    </w:p>
    <w:p w:rsidR="00D64CE6" w:rsidRDefault="00D64CE6" w:rsidP="00EF1E22">
      <w:pPr>
        <w:pStyle w:val="PargrafodaLista"/>
        <w:numPr>
          <w:ilvl w:val="1"/>
          <w:numId w:val="5"/>
        </w:numPr>
        <w:jc w:val="both"/>
      </w:pPr>
      <w:r>
        <w:t>Exercícios interativos</w:t>
      </w:r>
      <w:r w:rsidR="007C6D1D">
        <w:t>;</w:t>
      </w:r>
    </w:p>
    <w:p w:rsidR="00D64CE6" w:rsidRDefault="00D64CE6" w:rsidP="00EF1E22">
      <w:pPr>
        <w:pStyle w:val="PargrafodaLista"/>
        <w:numPr>
          <w:ilvl w:val="0"/>
          <w:numId w:val="5"/>
        </w:numPr>
        <w:jc w:val="both"/>
      </w:pPr>
      <w:r>
        <w:t>Lousa e giz</w:t>
      </w:r>
      <w:r w:rsidR="007C6D1D">
        <w:t>.</w:t>
      </w:r>
    </w:p>
    <w:p w:rsidR="005B2707" w:rsidRDefault="005B2707" w:rsidP="00EF1E22">
      <w:pPr>
        <w:jc w:val="both"/>
      </w:pPr>
    </w:p>
    <w:p w:rsidR="005B2707" w:rsidRDefault="005B2707" w:rsidP="00EF1E22">
      <w:pPr>
        <w:pStyle w:val="Ttulo2"/>
        <w:jc w:val="both"/>
      </w:pPr>
      <w:r>
        <w:t>Avaliação</w:t>
      </w:r>
    </w:p>
    <w:p w:rsidR="005B2707" w:rsidRDefault="005B2707" w:rsidP="007C6D1D">
      <w:pPr>
        <w:spacing w:before="240"/>
        <w:jc w:val="both"/>
      </w:pPr>
      <w:r>
        <w:t>A avaliação do processo ensino-aprendizagem se dará em diferentes etapas:</w:t>
      </w:r>
    </w:p>
    <w:p w:rsidR="007F4BC2" w:rsidRDefault="007F4BC2" w:rsidP="007C6D1D">
      <w:pPr>
        <w:pStyle w:val="PargrafodaLista"/>
        <w:numPr>
          <w:ilvl w:val="0"/>
          <w:numId w:val="7"/>
        </w:numPr>
        <w:jc w:val="both"/>
      </w:pPr>
      <w:r>
        <w:t xml:space="preserve">Participação em sala de aula, considerando o nível de complexidade dos questionamentos feitos pelos estudantes, a capacidade dos mesmos em responder questões formuladas pelo professor e atitude </w:t>
      </w:r>
      <w:r w:rsidR="007C6D1D">
        <w:t>nas atividades de júri simulado;</w:t>
      </w:r>
    </w:p>
    <w:p w:rsidR="007F4BC2" w:rsidRDefault="007F4BC2" w:rsidP="007C6D1D">
      <w:pPr>
        <w:pStyle w:val="PargrafodaLista"/>
        <w:numPr>
          <w:ilvl w:val="0"/>
          <w:numId w:val="7"/>
        </w:numPr>
        <w:jc w:val="both"/>
      </w:pPr>
      <w:r>
        <w:t>Níveis de acertos de exercícios interativos de raciocínio rápido projetados na tela durante a aula expositiva dialogada</w:t>
      </w:r>
      <w:r w:rsidR="007C6D1D">
        <w:t>;</w:t>
      </w:r>
    </w:p>
    <w:p w:rsidR="007F4BC2" w:rsidRDefault="007F4BC2" w:rsidP="007C6D1D">
      <w:pPr>
        <w:pStyle w:val="PargrafodaLista"/>
        <w:numPr>
          <w:ilvl w:val="0"/>
          <w:numId w:val="7"/>
        </w:numPr>
        <w:jc w:val="both"/>
      </w:pPr>
      <w:r>
        <w:t>Resolução de casos (lista de exercícios suplementares a serem resolvidos em casa)</w:t>
      </w:r>
      <w:r w:rsidR="007C6D1D">
        <w:t>;</w:t>
      </w:r>
    </w:p>
    <w:p w:rsidR="007F4BC2" w:rsidRDefault="007F4BC2" w:rsidP="007C6D1D">
      <w:pPr>
        <w:pStyle w:val="PargrafodaLista"/>
        <w:numPr>
          <w:ilvl w:val="0"/>
          <w:numId w:val="7"/>
        </w:numPr>
        <w:jc w:val="both"/>
      </w:pPr>
      <w:r>
        <w:t>Pregunta a ser incluída na segunda avaliação (prova) da disciplina.</w:t>
      </w:r>
    </w:p>
    <w:p w:rsidR="007F4BC2" w:rsidRDefault="007F4BC2" w:rsidP="00EF1E22">
      <w:pPr>
        <w:jc w:val="both"/>
      </w:pPr>
    </w:p>
    <w:p w:rsidR="007F4BC2" w:rsidRDefault="007F4BC2" w:rsidP="00EF1E22">
      <w:pPr>
        <w:pStyle w:val="Ttulo2"/>
        <w:jc w:val="both"/>
      </w:pPr>
      <w:r>
        <w:t>Bibliografia</w:t>
      </w:r>
    </w:p>
    <w:p w:rsidR="003F759F" w:rsidRPr="00D77152" w:rsidRDefault="003F759F" w:rsidP="00EF1E22">
      <w:pPr>
        <w:pStyle w:val="PargrafodaLista"/>
        <w:numPr>
          <w:ilvl w:val="0"/>
          <w:numId w:val="8"/>
        </w:numPr>
        <w:spacing w:before="240"/>
        <w:jc w:val="both"/>
        <w:rPr>
          <w:lang w:val="en-US"/>
        </w:rPr>
      </w:pPr>
      <w:r w:rsidRPr="00D77152">
        <w:rPr>
          <w:lang w:val="en-US"/>
        </w:rPr>
        <w:t>Amorim A, Budowle B (2017). Handbook of forensic genetics – biodiversity and heredity in civil and criminal investigations. World Scientific. Chapter 4.</w:t>
      </w:r>
    </w:p>
    <w:p w:rsidR="003F759F" w:rsidRPr="00D77152" w:rsidRDefault="003F759F" w:rsidP="00EF1E22">
      <w:pPr>
        <w:pStyle w:val="PargrafodaLista"/>
        <w:numPr>
          <w:ilvl w:val="0"/>
          <w:numId w:val="8"/>
        </w:numPr>
        <w:jc w:val="both"/>
        <w:rPr>
          <w:lang w:val="en-US"/>
        </w:rPr>
      </w:pPr>
      <w:r w:rsidRPr="00D77152">
        <w:rPr>
          <w:lang w:val="en-US"/>
        </w:rPr>
        <w:t>Buckleton JS et al. (2016). Forensic DNA evidence interpretation. Second edition. CRC Press. Chapter 2.</w:t>
      </w:r>
    </w:p>
    <w:p w:rsidR="003F759F" w:rsidRPr="00D77152" w:rsidRDefault="003F759F" w:rsidP="00EF1E22">
      <w:pPr>
        <w:pStyle w:val="PargrafodaLista"/>
        <w:numPr>
          <w:ilvl w:val="0"/>
          <w:numId w:val="8"/>
        </w:numPr>
        <w:jc w:val="both"/>
        <w:rPr>
          <w:lang w:val="en-US"/>
        </w:rPr>
      </w:pPr>
      <w:r w:rsidRPr="00D77152">
        <w:rPr>
          <w:lang w:val="en-US"/>
        </w:rPr>
        <w:t>Butler JM (2005)</w:t>
      </w:r>
      <w:r w:rsidR="00B2679D" w:rsidRPr="00D77152">
        <w:rPr>
          <w:lang w:val="en-US"/>
        </w:rPr>
        <w:t>.</w:t>
      </w:r>
      <w:r w:rsidRPr="00D77152">
        <w:rPr>
          <w:lang w:val="en-US"/>
        </w:rPr>
        <w:t xml:space="preserve"> Forensic DNA typing – biology, technology and genetics of STR markers. Second edition. Elevier - Academic Press</w:t>
      </w:r>
      <w:r w:rsidR="00B2679D" w:rsidRPr="00D77152">
        <w:rPr>
          <w:lang w:val="en-US"/>
        </w:rPr>
        <w:t>. Chapter 21.</w:t>
      </w:r>
    </w:p>
    <w:p w:rsidR="00B2679D" w:rsidRPr="00D77152" w:rsidRDefault="00B2679D" w:rsidP="00EF1E22">
      <w:pPr>
        <w:pStyle w:val="PargrafodaLista"/>
        <w:numPr>
          <w:ilvl w:val="0"/>
          <w:numId w:val="8"/>
        </w:numPr>
        <w:jc w:val="both"/>
        <w:rPr>
          <w:lang w:val="en-US"/>
        </w:rPr>
      </w:pPr>
      <w:r w:rsidRPr="00D77152">
        <w:rPr>
          <w:lang w:val="en-US"/>
        </w:rPr>
        <w:t>Butler JM (2010). Fundamentals of forensic DNA typing. Elevier - Academic Press. Chapter 10.</w:t>
      </w:r>
    </w:p>
    <w:p w:rsidR="00B2679D" w:rsidRPr="00D77152" w:rsidRDefault="00B2679D" w:rsidP="00EF1E22">
      <w:pPr>
        <w:pStyle w:val="PargrafodaLista"/>
        <w:numPr>
          <w:ilvl w:val="0"/>
          <w:numId w:val="8"/>
        </w:numPr>
        <w:jc w:val="both"/>
        <w:rPr>
          <w:lang w:val="en-US"/>
        </w:rPr>
      </w:pPr>
      <w:r w:rsidRPr="00D77152">
        <w:rPr>
          <w:lang w:val="en-US"/>
        </w:rPr>
        <w:t>Butler JM (2014). Advanced topics in forensic DNA typing – interpretation. Elevier - Academic Press. Chapter 11.</w:t>
      </w:r>
    </w:p>
    <w:p w:rsidR="00B2679D" w:rsidRPr="00D77152" w:rsidRDefault="00B2679D" w:rsidP="00EF1E22">
      <w:pPr>
        <w:pStyle w:val="PargrafodaLista"/>
        <w:numPr>
          <w:ilvl w:val="0"/>
          <w:numId w:val="8"/>
        </w:numPr>
        <w:jc w:val="both"/>
        <w:rPr>
          <w:lang w:val="en-US"/>
        </w:rPr>
      </w:pPr>
      <w:r w:rsidRPr="00D77152">
        <w:rPr>
          <w:lang w:val="en-US"/>
        </w:rPr>
        <w:t>Coble MD et al. (2016). DNA Commission of the International Society for Forensic Genetics: recommendations on the validation of software programs for performing biostatistics calculation for forensic genetics applications. Forensic Sci. Int. Genet. 25:191-197.</w:t>
      </w:r>
    </w:p>
    <w:p w:rsidR="00B2679D" w:rsidRDefault="00B2679D" w:rsidP="00EF1E22">
      <w:pPr>
        <w:pStyle w:val="PargrafodaLista"/>
        <w:numPr>
          <w:ilvl w:val="0"/>
          <w:numId w:val="8"/>
        </w:numPr>
        <w:jc w:val="both"/>
        <w:rPr>
          <w:lang w:val="en-US"/>
        </w:rPr>
      </w:pPr>
      <w:r w:rsidRPr="00D77152">
        <w:rPr>
          <w:lang w:val="en-US"/>
        </w:rPr>
        <w:t>Evett IW, Weir BS (1998). Interpreting DNA evidence – Statistics and Genetics for forensic scientists. Sinauer.</w:t>
      </w:r>
    </w:p>
    <w:p w:rsidR="00D77152" w:rsidRPr="00D77152" w:rsidRDefault="00D77152" w:rsidP="00EF1E22">
      <w:pPr>
        <w:pStyle w:val="PargrafodaLista"/>
        <w:numPr>
          <w:ilvl w:val="0"/>
          <w:numId w:val="8"/>
        </w:numPr>
        <w:jc w:val="both"/>
      </w:pPr>
      <w:r w:rsidRPr="00D77152">
        <w:rPr>
          <w:lang w:val="en-US"/>
        </w:rPr>
        <w:t xml:space="preserve">National Institute of Justice. Animation showing and explaining excluded DNA samples. </w:t>
      </w:r>
      <w:r w:rsidRPr="003F759F">
        <w:t xml:space="preserve">Disponível em: </w:t>
      </w:r>
      <w:hyperlink r:id="rId6" w:history="1">
        <w:r w:rsidRPr="003F759F">
          <w:rPr>
            <w:rStyle w:val="Hyperlink"/>
          </w:rPr>
          <w:t>http://static.training.nij.gov/flash/DNACD_mod06-2-02.swf</w:t>
        </w:r>
      </w:hyperlink>
    </w:p>
    <w:p w:rsidR="00D77152" w:rsidRPr="003F759F" w:rsidRDefault="00D77152" w:rsidP="00EF1E22">
      <w:pPr>
        <w:pStyle w:val="PargrafodaLista"/>
        <w:numPr>
          <w:ilvl w:val="0"/>
          <w:numId w:val="8"/>
        </w:numPr>
        <w:jc w:val="both"/>
      </w:pPr>
      <w:r w:rsidRPr="00D77152">
        <w:rPr>
          <w:lang w:val="en-US"/>
        </w:rPr>
        <w:t xml:space="preserve">National Institute of Justice. Animation showing and explaining matching DNA samples. </w:t>
      </w:r>
      <w:r w:rsidRPr="003F759F">
        <w:t xml:space="preserve">Disponível em: </w:t>
      </w:r>
      <w:hyperlink r:id="rId7" w:history="1">
        <w:r w:rsidRPr="002B4F56">
          <w:rPr>
            <w:rStyle w:val="Hyperlink"/>
          </w:rPr>
          <w:t>http://static.training.nij.gov/flash/DNACD_mod06-2-01.swf</w:t>
        </w:r>
      </w:hyperlink>
    </w:p>
    <w:p w:rsidR="00D77152" w:rsidRDefault="00D77152" w:rsidP="00EF1E22">
      <w:pPr>
        <w:pStyle w:val="PargrafodaLista"/>
        <w:numPr>
          <w:ilvl w:val="0"/>
          <w:numId w:val="8"/>
        </w:numPr>
        <w:jc w:val="both"/>
      </w:pPr>
      <w:r w:rsidRPr="00D77152">
        <w:rPr>
          <w:lang w:val="en-US"/>
        </w:rPr>
        <w:lastRenderedPageBreak/>
        <w:t xml:space="preserve">National Institute of Justice. Animation on how the product rule is used to estimate STR frequencies. </w:t>
      </w:r>
      <w:r w:rsidRPr="003F759F">
        <w:t xml:space="preserve">Disponível em: </w:t>
      </w:r>
      <w:hyperlink r:id="rId8" w:history="1">
        <w:r w:rsidRPr="002B4F56">
          <w:rPr>
            <w:rStyle w:val="Hyperlink"/>
          </w:rPr>
          <w:t>http://static.training.nij.gov/flash/DNACD_mod07-2-08.swf</w:t>
        </w:r>
      </w:hyperlink>
    </w:p>
    <w:p w:rsidR="00D77152" w:rsidRDefault="00D77152" w:rsidP="00EF1E22">
      <w:pPr>
        <w:pStyle w:val="PargrafodaLista"/>
        <w:numPr>
          <w:ilvl w:val="0"/>
          <w:numId w:val="8"/>
        </w:numPr>
        <w:jc w:val="both"/>
      </w:pPr>
      <w:r w:rsidRPr="00D77152">
        <w:rPr>
          <w:lang w:val="en-US"/>
        </w:rPr>
        <w:t xml:space="preserve">National Institute of Justice. Interactive animation showing the parts of a sample DNA laboratory report. </w:t>
      </w:r>
      <w:r w:rsidRPr="003F759F">
        <w:t xml:space="preserve">Disponível em: </w:t>
      </w:r>
      <w:hyperlink r:id="rId9" w:history="1">
        <w:r w:rsidRPr="002B4F56">
          <w:rPr>
            <w:rStyle w:val="Hyperlink"/>
          </w:rPr>
          <w:t>http://static.training.nij.gov/flash/DNACD_mod06-1-01.swf</w:t>
        </w:r>
      </w:hyperlink>
    </w:p>
    <w:p w:rsidR="00D77152" w:rsidRPr="00D77152" w:rsidRDefault="00D77152" w:rsidP="00EF1E22">
      <w:pPr>
        <w:pStyle w:val="PargrafodaLista"/>
        <w:numPr>
          <w:ilvl w:val="0"/>
          <w:numId w:val="8"/>
        </w:numPr>
        <w:jc w:val="both"/>
      </w:pPr>
      <w:r w:rsidRPr="00D77152">
        <w:rPr>
          <w:lang w:val="en-US"/>
        </w:rPr>
        <w:t>Toroni et al. (2013). Whose DNA is this? How relevant a question? (a note fore forensic scientists). Forensic Sci. Int. Genet. 7:467-470.</w:t>
      </w:r>
    </w:p>
    <w:p w:rsidR="00D77152" w:rsidRPr="00D77152" w:rsidRDefault="00D77152" w:rsidP="00EF1E22">
      <w:pPr>
        <w:jc w:val="both"/>
      </w:pPr>
    </w:p>
    <w:p w:rsidR="00D77152" w:rsidRDefault="00D77152" w:rsidP="00EF1E22">
      <w:pPr>
        <w:jc w:val="both"/>
        <w:rPr>
          <w:lang w:val="en-US"/>
        </w:rPr>
      </w:pPr>
      <w:r w:rsidRPr="00D77152">
        <w:rPr>
          <w:lang w:val="en-US"/>
        </w:rPr>
        <w:t>XXXXXXXXXXXXXXXXXXXXXXXXXXXXXXXXXXXXXXXXXXXXXXXXXXXXXXXXXXXXXXXXXXXXXXXXXXXXXXX</w:t>
      </w:r>
    </w:p>
    <w:p w:rsidR="007C6D1D" w:rsidRPr="00D77152" w:rsidRDefault="007C6D1D" w:rsidP="00EF1E22">
      <w:pPr>
        <w:jc w:val="both"/>
        <w:rPr>
          <w:lang w:val="en-US"/>
        </w:rPr>
      </w:pPr>
    </w:p>
    <w:p w:rsidR="00D77152" w:rsidRDefault="00D77152" w:rsidP="00EF1E22">
      <w:pPr>
        <w:pStyle w:val="Ttulo2"/>
        <w:jc w:val="both"/>
        <w:rPr>
          <w:lang w:val="en-US"/>
        </w:rPr>
      </w:pPr>
      <w:r>
        <w:rPr>
          <w:lang w:val="en-US"/>
        </w:rPr>
        <w:t>Contexto geral</w:t>
      </w:r>
    </w:p>
    <w:p w:rsidR="00D77152" w:rsidRDefault="00D77152" w:rsidP="00EF1E22">
      <w:pPr>
        <w:spacing w:before="240"/>
        <w:jc w:val="both"/>
      </w:pPr>
      <w:r w:rsidRPr="00D77152">
        <w:t xml:space="preserve">O curso de Bacharelado em Química </w:t>
      </w:r>
      <w:r w:rsidR="00AD5BC2">
        <w:t xml:space="preserve">do Departamento de Química </w:t>
      </w:r>
      <w:r w:rsidRPr="00D77152">
        <w:t xml:space="preserve">da </w:t>
      </w:r>
      <w:r>
        <w:t>Faculdade de Filosofia, Ciências e Letras de Ribeirão Preto (FFCLRP-USP)</w:t>
      </w:r>
      <w:r w:rsidR="00AD5BC2">
        <w:t>, teve suas atividades iniciadas no ano de 1964, tendo sido reformulado no ano de 2006. Nesta ocasião, passou a oferecer três modalidades (ou ênfases) distintas: (i) Bacharelado em Química, (ii) Bacharelado em Química com habilitação em Química Tecnológica, Biotecnologia e Agroindústria, e (iii) Bacharelado em Química Forense.</w:t>
      </w:r>
    </w:p>
    <w:p w:rsidR="00AD5BC2" w:rsidRDefault="00AD5BC2" w:rsidP="007C6D1D">
      <w:pPr>
        <w:spacing w:before="240"/>
        <w:ind w:firstLine="708"/>
        <w:jc w:val="both"/>
      </w:pPr>
      <w:r>
        <w:t>De acordo com</w:t>
      </w:r>
      <w:r w:rsidR="00EF1E22">
        <w:t xml:space="preserve"> o Projeto Político Pedagógico do curso de Bacharelado em Química, o graduando em Química Forense de ter primeiramente um sólido conhecimento em Química básica, pois a este será atribuída competência de Bacharel em Química. A formação técnica especializada, ainda dentro do curso universitário, irá possibilitar que este futuro profissional seja altamente competitivo no mercado de trabalho. Este graduando terá formação multidisciplinar e interdisciplinar para compreender e atuar no contexto de problemas químicos inseridos no âmbito da área jurídica e da investigação forense. Pretende-se formar um Químico que terá capacidade de interagir com profissionais jurídicos e de medicina forense, reduzindo o tempo dispendido na investigação e solução de processos. Portanto, este curso, além de compreender um denso núcleo de química, contempla diversas disciplinas específicas para formação do Químico Forense. De modo geral, o estudante cumprirá carga de 3.480 horas.</w:t>
      </w:r>
    </w:p>
    <w:p w:rsidR="005B230F" w:rsidRDefault="005B230F" w:rsidP="007C6D1D">
      <w:pPr>
        <w:spacing w:before="240"/>
        <w:ind w:firstLine="708"/>
        <w:jc w:val="both"/>
      </w:pPr>
      <w:r>
        <w:t xml:space="preserve">Em sua estrutura curricular, as disciplinas de Biologia Geral (1ºsemestre), Bioquímica I (3º semestre) e Biologia Molecular (5º semestre) fornecem os fundamentos básicos para o processo de ensino-aprendizagem a ser conduzido em Biologia Molecular Forense (6º semestre), Biologia Molecular Forense Experimental (7º semestre) e Questões Gerais sobre Biologia Molecular Forense (8º semestre). Do mesmo modo, as disciplinas Ciências Forense I (4º semestre), Criminalística (7º semestre), Tópicos em Biologia Forense (7º semestre) e Análise Pericial de Locais de Crime (8º semestre) </w:t>
      </w:r>
      <w:r w:rsidR="003A4A5A">
        <w:t>abordam o papel do cientista forense, fornecendo conhecimento para atuação, isolamento e preservação de locais de crime, busca de vestígios e redação de laudos, por exemplo.</w:t>
      </w:r>
    </w:p>
    <w:p w:rsidR="003A4A5A" w:rsidRDefault="003A4A5A" w:rsidP="007C6D1D">
      <w:pPr>
        <w:spacing w:before="240"/>
        <w:ind w:firstLine="708"/>
        <w:jc w:val="both"/>
      </w:pPr>
      <w:r>
        <w:t xml:space="preserve">A disciplina Biologia Molecular Forense tem por objetivo fornecer base teórica de técnicas avançadas de Biologia Molecular no contexto de aplicações forenses, conduzindo o aluno a compreender as diferentes etapas do processo de obtenção de perfis de DNA, bem como realizar e interpretar os cálculos estatísticos envolvidos na elaboração de um laudo de identificação humana </w:t>
      </w:r>
      <w:r>
        <w:lastRenderedPageBreak/>
        <w:t>por DNA. Enquanto tal disciplina introduz em nível teórico as ferramentas e aplicações da análise de DNA e RNA com ênfase em ciências forenses, a disciplina de Biologia Molecular Forense Experimental aborda de forma prática os métodos básicos de biologia molecular de maior relevância no contexto forense.</w:t>
      </w:r>
    </w:p>
    <w:p w:rsidR="00A07903" w:rsidRDefault="00A07903" w:rsidP="005B230F">
      <w:pPr>
        <w:spacing w:before="240"/>
        <w:jc w:val="both"/>
      </w:pPr>
    </w:p>
    <w:p w:rsidR="00A07903" w:rsidRDefault="00A07903" w:rsidP="00A07903">
      <w:pPr>
        <w:pStyle w:val="Ttulo2"/>
      </w:pPr>
      <w:r>
        <w:t>Contexto da aula</w:t>
      </w:r>
    </w:p>
    <w:p w:rsidR="00A07903" w:rsidRDefault="00A07903" w:rsidP="005B230F">
      <w:pPr>
        <w:spacing w:before="240"/>
        <w:jc w:val="both"/>
      </w:pPr>
      <w:r>
        <w:t>A disciplina de Biologia Molecular Forense está organizada em três grandes blocos de conteúdo. No primeiro bloco, o aluno apreenderá como obter um perfil de STRs (</w:t>
      </w:r>
      <w:r w:rsidRPr="00A07903">
        <w:rPr>
          <w:i/>
        </w:rPr>
        <w:t>Short Tandem Repeats</w:t>
      </w:r>
      <w:r>
        <w:t>), desde a coleta e extração de DNA, até a obtenção de perfis de STRs em eletroforese capilar. O segundo bloco é completamente voltado para conteúdos de bioestatística e genética de populações, abordando todos os elementos necessários para identificação por DNA, análises de vínculos genéticos e varredura de bancos de perfis de DNA de criminosos. O terceiro bloco aborda conteúdos complementares, tais como análise molecular de SNPs (</w:t>
      </w:r>
      <w:r>
        <w:rPr>
          <w:i/>
        </w:rPr>
        <w:t>Single Nucleotide Polymorphisms</w:t>
      </w:r>
      <w:r>
        <w:t>), DNA mitocondrial, cromossomos X e Y, e mistura de perfis de DNA.</w:t>
      </w:r>
    </w:p>
    <w:p w:rsidR="00A07903" w:rsidRPr="00A07903" w:rsidRDefault="00A07903" w:rsidP="007C6D1D">
      <w:pPr>
        <w:spacing w:before="240"/>
        <w:ind w:firstLine="708"/>
        <w:jc w:val="both"/>
      </w:pPr>
      <w:r>
        <w:t>O tema deste plano de aula se insere no segundo bloco de conteúdos, imediatamente após a aula em que o modelo do Equilíbrio de Hardy-Weinberg foi abordado.</w:t>
      </w:r>
    </w:p>
    <w:p w:rsidR="00A07903" w:rsidRDefault="00A07903" w:rsidP="005B230F">
      <w:pPr>
        <w:spacing w:before="240"/>
        <w:jc w:val="both"/>
      </w:pPr>
    </w:p>
    <w:p w:rsidR="004238BE" w:rsidRDefault="004238BE" w:rsidP="004238BE">
      <w:pPr>
        <w:pStyle w:val="Ttulo2"/>
      </w:pPr>
      <w:r>
        <w:t>Estratégia de ensino</w:t>
      </w:r>
    </w:p>
    <w:p w:rsidR="004238BE" w:rsidRDefault="004238BE" w:rsidP="005B230F">
      <w:pPr>
        <w:spacing w:before="240"/>
        <w:jc w:val="both"/>
      </w:pPr>
      <w:r>
        <w:t>De acordo com Vasconcellos (1992), o grande problema da metodologia expositiva, do ponto de vista pedagógico, é o alto risco de não-aprendizagem, justamente em função do baixo nível de interação sujeito-objeto de conhecimento, ou seja, grau de probabilidade de interação significante é muito baixo. O conhecimento não deve ser simplesmente transferido ou depositado pelo outro (conforme concepção tradicional), nem deve ser inventado pelo sujeito (concepção espontaneísta). O conhecimento deve ser construído pelo sujeito na sua relação com os outros e com o mundo. Deste modo, o educador deve ter três grandes preocupações no decorrer do trabalho pedagógico, a fim de superar a metodologia tradicional:</w:t>
      </w:r>
    </w:p>
    <w:p w:rsidR="004238BE" w:rsidRDefault="004238BE" w:rsidP="004238BE">
      <w:pPr>
        <w:pStyle w:val="PargrafodaLista"/>
        <w:numPr>
          <w:ilvl w:val="0"/>
          <w:numId w:val="9"/>
        </w:numPr>
        <w:spacing w:before="240"/>
        <w:jc w:val="both"/>
      </w:pPr>
      <w:r>
        <w:t>Mobilização para o conhecimento;</w:t>
      </w:r>
    </w:p>
    <w:p w:rsidR="004238BE" w:rsidRDefault="004238BE" w:rsidP="004238BE">
      <w:pPr>
        <w:pStyle w:val="PargrafodaLista"/>
        <w:numPr>
          <w:ilvl w:val="0"/>
          <w:numId w:val="9"/>
        </w:numPr>
        <w:spacing w:before="240"/>
        <w:jc w:val="both"/>
      </w:pPr>
      <w:r>
        <w:t>Construção do conhecimento;</w:t>
      </w:r>
    </w:p>
    <w:p w:rsidR="004238BE" w:rsidRDefault="004238BE" w:rsidP="004238BE">
      <w:pPr>
        <w:pStyle w:val="PargrafodaLista"/>
        <w:numPr>
          <w:ilvl w:val="0"/>
          <w:numId w:val="9"/>
        </w:numPr>
        <w:spacing w:before="240"/>
        <w:jc w:val="both"/>
      </w:pPr>
      <w:r>
        <w:t>Elaboração de síntese do conhecimento.</w:t>
      </w:r>
    </w:p>
    <w:p w:rsidR="004238BE" w:rsidRDefault="004238BE" w:rsidP="007C6D1D">
      <w:pPr>
        <w:spacing w:before="240"/>
        <w:ind w:firstLine="709"/>
        <w:jc w:val="both"/>
      </w:pPr>
      <w:r>
        <w:t>Para tanto, faz-se necessário a substituição por aula expositiva dialogada, permeada por outras estratégias voltadas para manter a atenção e estimular a participação do estudante.</w:t>
      </w:r>
    </w:p>
    <w:p w:rsidR="00F95A85" w:rsidRDefault="00F95A85" w:rsidP="007C6D1D">
      <w:pPr>
        <w:spacing w:before="240"/>
        <w:ind w:firstLine="708"/>
        <w:jc w:val="both"/>
      </w:pPr>
      <w:r>
        <w:t xml:space="preserve">A dinâmica da primeira aula se iniciará com dois vídeos de curta duração (cada um com cerca de 1 minuto) que ilustram as situações de incompatibilidade e compatibilidade entre os perfis de DNA de duas amostras biológicas distintas. Será um momento de mobilização para o conhecimento e revisão de conteúdo apreendido no primeiro bloco da disciplina, permitindo o estudante contextualizar o conteúdo a ser ministrado em seguida. Terá início, portanto a aula expositiva dialogada, a qual representa oportunidade de ouvir o estudante, buscando identificar sua </w:t>
      </w:r>
      <w:r>
        <w:lastRenderedPageBreak/>
        <w:t>realidade, dificuldades e conhecimentos prévios, os quais devem ser tomados como ponto de partida. O forte desta estratégia é o diálogo, com espaço para questionamentos, críticas e solução de problemas, visando definitivamente superar a passividade intelectual dos estudante (Anastaisou e Alves, 2009). Ao término da primeira aula</w:t>
      </w:r>
      <w:r w:rsidR="009D7F96">
        <w:t xml:space="preserve">, o estudante estará capacitado a calcular as frequências de perfis de DNA, </w:t>
      </w:r>
      <w:r w:rsidR="009D7F96" w:rsidRPr="009D7F96">
        <w:t>baseando-se em princípios de probabilidade (regra do produto) e no modelo de Equilíbrio de Hardy-Weinberg</w:t>
      </w:r>
      <w:r w:rsidR="009D7F96">
        <w:t xml:space="preserve">, bem como interpretar estatisticamente tal achado. Para avaliar se estes objetivos foram alcançados com êxito, nos instantes finais da aula, em aproximadamente 10 minutos, terá início a seção de exercícios interativos. Os estudantes serão instruídos a acessar o endereço </w:t>
      </w:r>
      <w:hyperlink r:id="rId10" w:history="1">
        <w:r w:rsidR="009D7F96" w:rsidRPr="002B4F56">
          <w:rPr>
            <w:rStyle w:val="Hyperlink"/>
          </w:rPr>
          <w:t>www.menti.com</w:t>
        </w:r>
      </w:hyperlink>
      <w:r w:rsidR="009D7F96">
        <w:t xml:space="preserve"> por meio de seus dispositivos eletrônicos (tablets, celulares ou notebooks) e introduzir o código 225899. Será realizada uma estimulante competição entre os alunos, envolvendo 6 questões que devem ser resolvidas em um intervalo de 30 a 60 segundo cada uma. Esta atividade representa uma abordagem voltada para introduzir as Tecnologias de Informação e Comunicação (TICs) na educação, algo imprescindível para a real mobilização dos estudantes das gerações atuais (Souza, 2013). Por fim, antes de encerrar, a turma será dividida em quatro grupos (provavelmente com cinco alunos em cada) que irão se preparar no decorrer da semana para as atividades de júri simulado que virão a compor a segunda e última aula voltada para este tema.</w:t>
      </w:r>
    </w:p>
    <w:p w:rsidR="00322150" w:rsidRDefault="00322150" w:rsidP="007C6D1D">
      <w:pPr>
        <w:spacing w:before="240"/>
        <w:ind w:firstLine="708"/>
        <w:jc w:val="both"/>
      </w:pPr>
      <w:r>
        <w:t>A segunda aula se iniciará com vídeo sobre os cálculos de frequências de perfis de DNA para uma rápida revisão de conteúdo. Teremos o primeiro juris simulado, onde um grupo apresentará elementos para defender o uso de correções de frequências alélicas e genotípicas (promotoria – 15 minutos) e outro argumentará de maneira contrária (defesa – 15 minutos)</w:t>
      </w:r>
      <w:r w:rsidR="009510DD">
        <w:t>. Dois outros estudantes assumirão os papéis de juiz e escrivão, enquanto que o restante da turma comporá o conselho de sentença que terá 15 minutos para deliberação final. Esta atividade requer preparo, concisão, clareza, lógica de ideias e argumentação fundamentada por parte dos diversos papeis (Anastaisou e Alves, 2009). O resultado pode ser apresentado por meio de apresentação interativa utilizando a mesma ferramenta interativa abordada em parágrafo anterior. De modo equivalente, a segunda atividade de júri simulado confrontará as abordagens frequentista e Bayesiana para análise e interpretação estatística dos exames de DNA. Tal estratégia de júri simulado envolve todos os momentos da construção do conhecimento, da mobilização à síntese, possibilitando o envolvimento de todos os estudantes. A aula se encerrará com a discussão de um último vídeo que abordará os diferentes elementos que devem compor um laudo de exame de DNA.</w:t>
      </w:r>
    </w:p>
    <w:p w:rsidR="009510DD" w:rsidRDefault="009510DD" w:rsidP="007C6D1D">
      <w:pPr>
        <w:spacing w:before="240"/>
        <w:ind w:firstLine="708"/>
        <w:jc w:val="both"/>
      </w:pPr>
      <w:r>
        <w:t>A abordagem em sala de aula, conforme apresentado, permitirá com que os objetivos pré-estabelecidos sejam atingidos com êxito.</w:t>
      </w:r>
    </w:p>
    <w:p w:rsidR="009510DD" w:rsidRDefault="009510DD" w:rsidP="004238BE">
      <w:pPr>
        <w:spacing w:before="240"/>
        <w:jc w:val="both"/>
      </w:pPr>
    </w:p>
    <w:p w:rsidR="009510DD" w:rsidRDefault="009510DD" w:rsidP="009510DD">
      <w:pPr>
        <w:pStyle w:val="Ttulo2"/>
      </w:pPr>
      <w:r>
        <w:t>Referências utilizadas para elaboração do Plano de Aula</w:t>
      </w:r>
    </w:p>
    <w:p w:rsidR="009510DD" w:rsidRDefault="009510DD" w:rsidP="007C6D1D">
      <w:pPr>
        <w:pStyle w:val="PargrafodaLista"/>
        <w:numPr>
          <w:ilvl w:val="0"/>
          <w:numId w:val="10"/>
        </w:numPr>
        <w:spacing w:before="240"/>
        <w:jc w:val="both"/>
      </w:pPr>
      <w:r>
        <w:t>Anastasiou LGC, Alves AP (2009). Processo de ensinagem na universidade: pressupostos para as estratégias de trabalho em aula. Editora Univalle.</w:t>
      </w:r>
    </w:p>
    <w:p w:rsidR="009510DD" w:rsidRDefault="009510DD" w:rsidP="007C6D1D">
      <w:pPr>
        <w:pStyle w:val="PargrafodaLista"/>
        <w:numPr>
          <w:ilvl w:val="0"/>
          <w:numId w:val="10"/>
        </w:numPr>
        <w:jc w:val="both"/>
      </w:pPr>
      <w:r>
        <w:t>Cunha MI (2010). A docência como ação complexa. In: Cunha MI (ed). Trajetórias e lugares de formação da docência universitária: da perspectiva individual ao espaço institucional. Junqueira e Marins Editores.</w:t>
      </w:r>
    </w:p>
    <w:p w:rsidR="009510DD" w:rsidRDefault="00A07903" w:rsidP="007C6D1D">
      <w:pPr>
        <w:pStyle w:val="PargrafodaLista"/>
        <w:numPr>
          <w:ilvl w:val="0"/>
          <w:numId w:val="10"/>
        </w:numPr>
        <w:jc w:val="both"/>
      </w:pPr>
      <w:r>
        <w:lastRenderedPageBreak/>
        <w:t xml:space="preserve">Góes FSN et al. (2015). Plano de aula: apoio e fundamentos para a prática docente. Disponível em </w:t>
      </w:r>
      <w:hyperlink r:id="rId11" w:history="1">
        <w:r w:rsidRPr="002B4F56">
          <w:rPr>
            <w:rStyle w:val="Hyperlink"/>
          </w:rPr>
          <w:t>http://www.eerp.usp.br/ebooks/planodeaula/</w:t>
        </w:r>
      </w:hyperlink>
      <w:r>
        <w:t>.</w:t>
      </w:r>
    </w:p>
    <w:p w:rsidR="00A07903" w:rsidRDefault="00A07903" w:rsidP="007C6D1D">
      <w:pPr>
        <w:pStyle w:val="PargrafodaLista"/>
        <w:numPr>
          <w:ilvl w:val="0"/>
          <w:numId w:val="10"/>
        </w:numPr>
        <w:jc w:val="both"/>
      </w:pPr>
      <w:r>
        <w:t>Souza B (2013). Mobile learning: educação e tecnologia na palma da mão. Clube de Autores.</w:t>
      </w:r>
    </w:p>
    <w:p w:rsidR="00A07903" w:rsidRDefault="00A07903" w:rsidP="007C6D1D">
      <w:pPr>
        <w:pStyle w:val="PargrafodaLista"/>
        <w:numPr>
          <w:ilvl w:val="0"/>
          <w:numId w:val="10"/>
        </w:numPr>
        <w:jc w:val="both"/>
      </w:pPr>
      <w:r>
        <w:t>Vasconcellos CS (1992). Metodologia dialética em sala de aula. Rev. Educ. AEC 21(83)28-55.</w:t>
      </w:r>
    </w:p>
    <w:p w:rsidR="00A07903" w:rsidRDefault="00A07903" w:rsidP="007C6D1D">
      <w:pPr>
        <w:pStyle w:val="PargrafodaLista"/>
        <w:numPr>
          <w:ilvl w:val="0"/>
          <w:numId w:val="10"/>
        </w:numPr>
        <w:jc w:val="both"/>
      </w:pPr>
      <w:r>
        <w:t>Veiga IPA (2008). Organização didática da aula: um projeto colaborativo de ação imediata. In Veiga (ed.). Aula: gênese, dimensões, princípios e práticas. Editora Papiros.</w:t>
      </w:r>
    </w:p>
    <w:p w:rsidR="004238BE" w:rsidRDefault="00A07903" w:rsidP="007C6D1D">
      <w:pPr>
        <w:pStyle w:val="PargrafodaLista"/>
        <w:numPr>
          <w:ilvl w:val="0"/>
          <w:numId w:val="10"/>
        </w:numPr>
        <w:spacing w:before="240"/>
        <w:jc w:val="both"/>
      </w:pPr>
      <w:r>
        <w:t>Zabalza MA (2004). O ensino universitário: seu cenário e seus protagonistas. Editora Artmed.</w:t>
      </w:r>
    </w:p>
    <w:p w:rsidR="005B230F" w:rsidRDefault="005B230F" w:rsidP="005B230F">
      <w:pPr>
        <w:spacing w:before="240"/>
        <w:jc w:val="both"/>
      </w:pPr>
    </w:p>
    <w:p w:rsidR="005B230F" w:rsidRDefault="005B230F" w:rsidP="00EF1E22">
      <w:pPr>
        <w:spacing w:before="240"/>
        <w:jc w:val="both"/>
      </w:pPr>
    </w:p>
    <w:p w:rsidR="00EF1E22" w:rsidRPr="00D77152" w:rsidRDefault="00EF1E22" w:rsidP="00EF1E22">
      <w:pPr>
        <w:spacing w:before="240"/>
        <w:jc w:val="both"/>
      </w:pPr>
    </w:p>
    <w:p w:rsidR="00B2679D" w:rsidRPr="00D77152" w:rsidRDefault="00B2679D" w:rsidP="00EF1E22">
      <w:pPr>
        <w:jc w:val="both"/>
      </w:pPr>
    </w:p>
    <w:p w:rsidR="003F759F" w:rsidRPr="00D77152" w:rsidRDefault="003F759F" w:rsidP="00EF1E22">
      <w:pPr>
        <w:jc w:val="both"/>
      </w:pPr>
    </w:p>
    <w:p w:rsidR="003F759F" w:rsidRPr="00D77152" w:rsidRDefault="003F759F" w:rsidP="00EF1E22">
      <w:pPr>
        <w:jc w:val="both"/>
      </w:pPr>
    </w:p>
    <w:p w:rsidR="003F759F" w:rsidRPr="00D77152" w:rsidRDefault="003F759F" w:rsidP="00EF1E22">
      <w:pPr>
        <w:jc w:val="both"/>
      </w:pPr>
    </w:p>
    <w:p w:rsidR="003F759F" w:rsidRPr="00D77152" w:rsidRDefault="003F759F" w:rsidP="00EF1E22">
      <w:pPr>
        <w:jc w:val="both"/>
      </w:pPr>
    </w:p>
    <w:p w:rsidR="005B2707" w:rsidRPr="00D77152" w:rsidRDefault="005B2707" w:rsidP="00EF1E22">
      <w:pPr>
        <w:jc w:val="both"/>
      </w:pPr>
    </w:p>
    <w:sectPr w:rsidR="005B2707" w:rsidRPr="00D77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5FF"/>
    <w:multiLevelType w:val="hybridMultilevel"/>
    <w:tmpl w:val="CFB4B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05AD2"/>
    <w:multiLevelType w:val="hybridMultilevel"/>
    <w:tmpl w:val="CDBE93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B7BD1"/>
    <w:multiLevelType w:val="hybridMultilevel"/>
    <w:tmpl w:val="CBF87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83A4D"/>
    <w:multiLevelType w:val="hybridMultilevel"/>
    <w:tmpl w:val="BBE85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368DD"/>
    <w:multiLevelType w:val="hybridMultilevel"/>
    <w:tmpl w:val="87B4A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A5C10"/>
    <w:multiLevelType w:val="hybridMultilevel"/>
    <w:tmpl w:val="11EE3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F0406"/>
    <w:multiLevelType w:val="hybridMultilevel"/>
    <w:tmpl w:val="2ED61C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01D29"/>
    <w:multiLevelType w:val="hybridMultilevel"/>
    <w:tmpl w:val="CD909F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900527"/>
    <w:multiLevelType w:val="hybridMultilevel"/>
    <w:tmpl w:val="D4E01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84D82"/>
    <w:multiLevelType w:val="hybridMultilevel"/>
    <w:tmpl w:val="5672DC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81"/>
    <w:rsid w:val="000B181A"/>
    <w:rsid w:val="00300F02"/>
    <w:rsid w:val="00322150"/>
    <w:rsid w:val="003A4A5A"/>
    <w:rsid w:val="003E7E90"/>
    <w:rsid w:val="003F759F"/>
    <w:rsid w:val="004238BE"/>
    <w:rsid w:val="00457810"/>
    <w:rsid w:val="00564E7F"/>
    <w:rsid w:val="005B230F"/>
    <w:rsid w:val="005B2707"/>
    <w:rsid w:val="006A6E70"/>
    <w:rsid w:val="00741708"/>
    <w:rsid w:val="00774581"/>
    <w:rsid w:val="007C6D1D"/>
    <w:rsid w:val="007F4BC2"/>
    <w:rsid w:val="009510DD"/>
    <w:rsid w:val="009D7F96"/>
    <w:rsid w:val="00A07903"/>
    <w:rsid w:val="00A673A2"/>
    <w:rsid w:val="00AD5BC2"/>
    <w:rsid w:val="00AF0914"/>
    <w:rsid w:val="00B2679D"/>
    <w:rsid w:val="00BC10CC"/>
    <w:rsid w:val="00C36607"/>
    <w:rsid w:val="00C60A61"/>
    <w:rsid w:val="00D30611"/>
    <w:rsid w:val="00D64CE6"/>
    <w:rsid w:val="00D70566"/>
    <w:rsid w:val="00D77152"/>
    <w:rsid w:val="00E67F5A"/>
    <w:rsid w:val="00EE28D5"/>
    <w:rsid w:val="00EE38F3"/>
    <w:rsid w:val="00EF1E22"/>
    <w:rsid w:val="00F11132"/>
    <w:rsid w:val="00F95A85"/>
    <w:rsid w:val="00FA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19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9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64E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A1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FA1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564E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6A6E7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F75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A19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9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64E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A1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FA19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564E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6A6E7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F75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training.nij.gov/flash/DNACD_mod07-2-08.sw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tatic.training.nij.gov/flash/DNACD_mod06-2-01.sw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ic.training.nij.gov/flash/DNACD_mod06-2-02.swf" TargetMode="External"/><Relationship Id="rId11" Type="http://schemas.openxmlformats.org/officeDocument/2006/relationships/hyperlink" Target="http://www.eerp.usp.br/ebooks/planodeaul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enti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tic.training.nij.gov/flash/DNACD_mod06-1-01.sw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2563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2017-10-09T14:46:00Z</dcterms:created>
  <dcterms:modified xsi:type="dcterms:W3CDTF">2017-10-09T14:46:00Z</dcterms:modified>
</cp:coreProperties>
</file>